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Cs w:val="28"/>
        </w:rPr>
      </w:pPr>
      <w:r>
        <w:rPr>
          <w:szCs w:val="28"/>
        </w:rPr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</w:r>
    </w:p>
    <w:p>
      <w:pPr>
        <w:pStyle w:val="1"/>
        <w:widowControl w:val="false"/>
        <w:rPr/>
      </w:pPr>
      <w:r>
        <w:rPr/>
        <w:t>Антимонопольный контроль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</w:r>
    </w:p>
    <w:p>
      <w:pPr>
        <w:pStyle w:val="2"/>
        <w:widowControl w:val="false"/>
        <w:numPr>
          <w:ilvl w:val="0"/>
          <w:numId w:val="0"/>
        </w:numPr>
        <w:ind w:left="720" w:hanging="0"/>
        <w:jc w:val="center"/>
        <w:rPr/>
      </w:pPr>
      <w:r>
        <w:rPr/>
        <w:t>Практика выявления и пресечения нарушений Закона о защите конкуренции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21"/>
        <w:rPr/>
      </w:pPr>
      <w:r>
        <w:rPr>
          <w:b/>
        </w:rPr>
        <w:t>Всего</w:t>
      </w:r>
      <w:r>
        <w:rPr>
          <w:b/>
          <w:bCs/>
        </w:rPr>
        <w:t xml:space="preserve"> за 2018 год </w:t>
      </w:r>
      <w:r>
        <w:rPr/>
        <w:t xml:space="preserve">Ханты-Мансийским УФАС России выявлено и пресечено </w:t>
      </w:r>
      <w:r>
        <w:rPr>
          <w:b/>
          <w:bCs/>
        </w:rPr>
        <w:t>51</w:t>
      </w:r>
      <w:r>
        <w:rPr/>
        <w:t xml:space="preserve"> </w:t>
      </w:r>
      <w:r>
        <w:rPr>
          <w:b/>
          <w:bCs/>
        </w:rPr>
        <w:t xml:space="preserve">нарушение </w:t>
      </w:r>
      <w:r>
        <w:rPr/>
        <w:t>антимонопольного законодательства, из них:</w:t>
      </w:r>
    </w:p>
    <w:p>
      <w:pPr>
        <w:pStyle w:val="Style21"/>
        <w:rPr/>
      </w:pPr>
      <w:r>
        <w:rPr/>
        <w:t xml:space="preserve">Выдано </w:t>
      </w:r>
      <w:r>
        <w:rPr>
          <w:b/>
        </w:rPr>
        <w:t>4</w:t>
      </w:r>
      <w:r>
        <w:rPr/>
        <w:t xml:space="preserve"> предписания об устранении нарушений, </w:t>
      </w:r>
      <w:r>
        <w:rPr>
          <w:b/>
        </w:rPr>
        <w:t>3</w:t>
      </w:r>
      <w:r>
        <w:rPr/>
        <w:t xml:space="preserve"> предписание антимонопольного органа исполнено, </w:t>
      </w:r>
      <w:r>
        <w:rPr>
          <w:b/>
        </w:rPr>
        <w:t>1</w:t>
      </w:r>
      <w:r>
        <w:rPr/>
        <w:t xml:space="preserve"> предписание антимонопольного органа в стадии исполнения.</w:t>
      </w:r>
    </w:p>
    <w:p>
      <w:pPr>
        <w:pStyle w:val="Style21"/>
        <w:rPr/>
      </w:pPr>
      <w:r>
        <w:rPr/>
        <w:t>В 2018 году было подано 10 исковых заявлений в Арбитражный суд, по результатам рассмотрения исковых требований было удовлетворено 6 исковых заявлений, в 2 исках было отказано, 2 исковых заявления находятся в стадии рассмотрения.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3"/>
        <w:widowControl w:val="false"/>
        <w:numPr>
          <w:ilvl w:val="0"/>
          <w:numId w:val="0"/>
        </w:numPr>
        <w:ind w:left="1363" w:hanging="0"/>
        <w:jc w:val="center"/>
        <w:rPr/>
      </w:pPr>
      <w:r>
        <w:rPr/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>
      <w:pPr>
        <w:pStyle w:val="Normal"/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pacing w:val="-1"/>
          <w:szCs w:val="28"/>
        </w:rPr>
        <w:t xml:space="preserve">В отчетном периоде Ханты-Мансийским УФАС России возбуждено и рассмотрено </w:t>
      </w:r>
      <w:r>
        <w:rPr>
          <w:b/>
          <w:spacing w:val="-1"/>
          <w:szCs w:val="28"/>
        </w:rPr>
        <w:t xml:space="preserve">2 </w:t>
      </w:r>
      <w:r>
        <w:rPr>
          <w:spacing w:val="-1"/>
          <w:szCs w:val="28"/>
        </w:rPr>
        <w:t>дела о нарушении антимонопольного законодательства, по статье 10 (в 2017 году 4 дела), что составило снижение на 50%.</w:t>
      </w:r>
    </w:p>
    <w:p>
      <w:pPr>
        <w:pStyle w:val="Normal"/>
        <w:ind w:firstLine="709"/>
        <w:jc w:val="both"/>
        <w:rPr>
          <w:szCs w:val="28"/>
        </w:rPr>
      </w:pPr>
      <w:r>
        <w:rPr>
          <w:spacing w:val="-1"/>
          <w:szCs w:val="28"/>
        </w:rPr>
        <w:t>По результатам рассмотрения дел были вынесены решения о признании в действиях, хозяйствующих субъектов нарушения пункта 10 части 1 статьи 10 Закона о защите конкуренции.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Наблюдается динамика снижения количества обращений и возбужденных дел, по признакам нарушения части 1 статьи 10 Закона о защите конкуренции.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Cs w:val="28"/>
        </w:rPr>
        <w:t>Основной причиной снижения количества возбужденных дел, послужило внесение изменений в антимонопольное законодательство, которое исключило полномочия по рассмотрению жалоб конкретных физических лиц (не связанных с осуществлением предпринимательской деятельностью) на действия занимающих доминирующее положение хозяйствующих субъектов.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Рассмотрение обращений физических лиц о нарушении антимонопольного законодательства доминирующим хозяйствующим субъектом путем ущемления их интересов, не связанных с предпринимательской деятельностью, а также не связанных с недопущением, ограничением, устранением конкуренции или не связанных с ущемлением интересов неограниченного круга потребителей, не относится к компетенции антимонопольного органа.</w:t>
      </w:r>
    </w:p>
    <w:p>
      <w:pPr>
        <w:pStyle w:val="Normal"/>
        <w:suppressAutoHyphens w:val="true"/>
        <w:ind w:firstLine="709"/>
        <w:jc w:val="both"/>
        <w:rPr>
          <w:szCs w:val="28"/>
        </w:rPr>
      </w:pPr>
      <w:r>
        <w:rPr>
          <w:spacing w:val="-1"/>
          <w:szCs w:val="28"/>
        </w:rPr>
        <w:t>Вместе с тем, хозяйствующим субъектам, в отчетном периоде выдано, в соответствии со ст. 39.1 Закона «О защите конкуренции», выдано 9 предупреждений, из них 9 исполнено (что составило 100%),  (в 2017 году  было выдано 8 предупреждений).</w:t>
      </w:r>
    </w:p>
    <w:p>
      <w:pPr>
        <w:pStyle w:val="Normal"/>
        <w:suppressAutoHyphens w:val="true"/>
        <w:ind w:firstLine="709"/>
        <w:jc w:val="both"/>
        <w:rPr>
          <w:szCs w:val="28"/>
        </w:rPr>
      </w:pPr>
      <w:r>
        <w:rPr>
          <w:bCs/>
          <w:spacing w:val="-1"/>
          <w:szCs w:val="28"/>
        </w:rPr>
        <w:t xml:space="preserve">Указанные 9 исполненных предупреждений — это фактически не возбужденные дела о нарушении </w:t>
      </w:r>
      <w:r>
        <w:rPr>
          <w:spacing w:val="-1"/>
          <w:szCs w:val="28"/>
        </w:rPr>
        <w:t>антимонопольного законодательства, в связи с устранением нарушения.</w:t>
      </w:r>
    </w:p>
    <w:p>
      <w:pPr>
        <w:pStyle w:val="Normal"/>
        <w:widowControl w:val="false"/>
        <w:tabs>
          <w:tab w:val="left" w:pos="6180" w:leader="none"/>
        </w:tabs>
        <w:suppressAutoHyphens w:val="true"/>
        <w:snapToGrid w:val="false"/>
        <w:ind w:firstLine="709"/>
        <w:jc w:val="both"/>
        <w:rPr>
          <w:szCs w:val="28"/>
        </w:rPr>
      </w:pPr>
      <w:r>
        <w:rPr>
          <w:szCs w:val="28"/>
          <w:highlight w:val="white"/>
        </w:rPr>
        <w:t xml:space="preserve">Пример дела о нарушении антимонопольного законодательства </w:t>
      </w:r>
      <w:r>
        <w:rPr>
          <w:b/>
          <w:bCs/>
          <w:szCs w:val="28"/>
          <w:highlight w:val="white"/>
        </w:rPr>
        <w:t xml:space="preserve">№ 02-06-005/2018, </w:t>
      </w:r>
      <w:r>
        <w:rPr>
          <w:szCs w:val="28"/>
          <w:highlight w:val="white"/>
        </w:rPr>
        <w:t xml:space="preserve">возбужденное в отношении </w:t>
      </w:r>
      <w:r>
        <w:rPr>
          <w:bCs/>
          <w:szCs w:val="28"/>
          <w:highlight w:val="white"/>
        </w:rPr>
        <w:t>Бюджетного учреждения профессионального образования «Междуреченский агропромышленный колледж»</w:t>
      </w:r>
      <w:r>
        <w:rPr>
          <w:spacing w:val="-1"/>
          <w:szCs w:val="28"/>
        </w:rPr>
        <w:t>.</w:t>
      </w:r>
    </w:p>
    <w:p>
      <w:pPr>
        <w:pStyle w:val="Style21"/>
        <w:spacing w:lineRule="auto" w:line="276"/>
        <w:rPr/>
      </w:pPr>
      <w:r>
        <w:rPr/>
        <w:t>В Управление Федеральной антимонопольной службы по Ханты-Мансийскому автономному округу - Югре поступило обращение Сидорцовой Е.С. (вх. от 03.10.2017 № 1538-о), указывающее на необоснованно высокие цены на обучение в автошколе пгт. Междуреченский.</w:t>
      </w:r>
    </w:p>
    <w:p>
      <w:pPr>
        <w:pStyle w:val="Style21"/>
        <w:spacing w:lineRule="auto" w:line="276"/>
        <w:rPr/>
      </w:pPr>
      <w:r>
        <w:rPr/>
        <w:t>Антимонопольным органом установлено, что БУ ПО «МАК» при расчете платы за образовательную услугу по программе обучения водителей автотранспортных средств Категории  «В»  были допущены нарушения законодательства, а именно:</w:t>
      </w:r>
    </w:p>
    <w:p>
      <w:pPr>
        <w:pStyle w:val="Style21"/>
        <w:spacing w:lineRule="auto" w:line="276"/>
        <w:rPr/>
      </w:pPr>
      <w:r>
        <w:rPr/>
        <w:t>- нарушение порядка расчета цены на услугу, указанного в Приказе Департамента по управлению государственным имуществом Ханты-Мансийского автономного округа-Югры от 22.03.2011 № 3-нп «О порядке определения платы за оказание услуг, выполнение работ бюджетными и казенными учреждениями Ханты-Мансийского автономного округа-Югры», выразившееся в самостоятельном установлении уровня рентабельности.</w:t>
      </w:r>
    </w:p>
    <w:p>
      <w:pPr>
        <w:pStyle w:val="Style21"/>
        <w:spacing w:lineRule="auto" w:line="276"/>
        <w:rPr/>
      </w:pPr>
      <w:r>
        <w:rPr/>
        <w:t>-  повышение стоимости обучения за счет необоснованного увеличения уровня инфляции на 11%, превышающего установленный государством уровень инфляции в 2016 г (5,8%).</w:t>
      </w:r>
    </w:p>
    <w:p>
      <w:pPr>
        <w:pStyle w:val="Style21"/>
        <w:spacing w:lineRule="auto" w:line="276"/>
        <w:rPr/>
      </w:pPr>
      <w:r>
        <w:rPr/>
        <w:t>В соответствии с пунктом 10 части 1 статьи 10 Федерального закона от 26.07.2006 № 135-ФЗ «О защите конкуренции» (далее по тексту — Закон о защите конкуренции),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нарушение установленного нормативными правовыми актами порядка ценообразования.</w:t>
      </w:r>
    </w:p>
    <w:p>
      <w:pPr>
        <w:pStyle w:val="Style21"/>
        <w:spacing w:lineRule="auto" w:line="276"/>
        <w:rPr/>
      </w:pPr>
      <w:r>
        <w:rPr>
          <w:rStyle w:val="Style18"/>
          <w:rFonts w:eastAsia="" w:eastAsiaTheme="majorEastAsia"/>
          <w:color w:val="00000A"/>
        </w:rPr>
        <w:t xml:space="preserve">По результатам рассмотрения дела в действиях </w:t>
      </w:r>
      <w:r>
        <w:rPr/>
        <w:t xml:space="preserve">БУ ПО «МАК» </w:t>
      </w:r>
      <w:r>
        <w:rPr>
          <w:rStyle w:val="Style18"/>
          <w:rFonts w:eastAsia="" w:eastAsiaTheme="majorEastAsia"/>
          <w:color w:val="00000A"/>
        </w:rPr>
        <w:t xml:space="preserve"> установлен факт нарушения пункта 10 части 1 статьи 10 Федерального закона от 26.07.2006 № 135-ФЗ «О защите конкуренции», </w:t>
      </w:r>
      <w:r>
        <w:rPr/>
        <w:t>выразившийся в расчете стоимости образовательной программы по обучению водителей автотранспортных средств категории «В» с самостоятельно установленным уровнем рентабельности, а так же с завышенным уровнем инфляции</w:t>
      </w:r>
      <w:r>
        <w:rPr>
          <w:rStyle w:val="Style18"/>
          <w:rFonts w:eastAsia="" w:eastAsiaTheme="majorEastAsia"/>
          <w:color w:val="00000A"/>
        </w:rPr>
        <w:t>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3"/>
        <w:widowControl w:val="false"/>
        <w:numPr>
          <w:ilvl w:val="0"/>
          <w:numId w:val="0"/>
        </w:numPr>
        <w:ind w:left="1363" w:hanging="0"/>
        <w:jc w:val="center"/>
        <w:rPr/>
      </w:pPr>
      <w:r>
        <w:rPr/>
        <w:t>Практика пресечения соглашений хозяйствующих субъектов, ограничивающих конкуренцию (статья 11 Закона о защите конкуренции)</w:t>
      </w:r>
    </w:p>
    <w:p>
      <w:pPr>
        <w:pStyle w:val="Style21"/>
        <w:widowControl w:val="false"/>
        <w:rPr/>
      </w:pPr>
      <w:r>
        <w:rPr/>
      </w:r>
    </w:p>
    <w:p>
      <w:pPr>
        <w:pStyle w:val="Style21"/>
        <w:widowControl w:val="false"/>
        <w:rPr/>
      </w:pPr>
      <w:r>
        <w:rPr/>
        <w:t xml:space="preserve">В отчетном периоде Ханты-Мансийским УФАС России было возбуждено </w:t>
      </w:r>
      <w:r>
        <w:rPr>
          <w:b/>
        </w:rPr>
        <w:t>3</w:t>
      </w:r>
      <w:r>
        <w:rPr/>
        <w:t xml:space="preserve"> дела о нарушении пункта 2 части 1 статьи 11 Закона о защите конкуренции, </w:t>
      </w:r>
      <w:r>
        <w:rPr>
          <w:bCs/>
        </w:rPr>
        <w:t xml:space="preserve">по результатам рассмотрения по 1 делу признаны нарушения, одно дело прекращено, одно находится в стадии рассмотрения </w:t>
      </w:r>
      <w:r>
        <w:rPr/>
        <w:t>(в 2017 году по 2 делам были признаны нарушения).</w:t>
      </w:r>
    </w:p>
    <w:p>
      <w:pPr>
        <w:pStyle w:val="Style21"/>
        <w:widowControl w:val="false"/>
        <w:rPr/>
      </w:pPr>
      <w:r>
        <w:rPr/>
      </w:r>
    </w:p>
    <w:p>
      <w:pPr>
        <w:pStyle w:val="Style21"/>
        <w:widowControl w:val="false"/>
        <w:jc w:val="center"/>
        <w:rPr>
          <w:b/>
          <w:b/>
          <w:bCs/>
        </w:rPr>
      </w:pPr>
      <w:r>
        <w:rPr>
          <w:b/>
          <w:bCs/>
        </w:rPr>
        <w:t>Пример дела о нарушении антимонопольного законодательства, выразившегося в заключение ограничивающего конкуренцию соглашения.</w:t>
      </w:r>
    </w:p>
    <w:p>
      <w:pPr>
        <w:pStyle w:val="Style21"/>
        <w:widowControl w:val="false"/>
        <w:rPr/>
      </w:pPr>
      <w:r>
        <w:rPr/>
      </w:r>
    </w:p>
    <w:p>
      <w:pPr>
        <w:pStyle w:val="Style21"/>
        <w:rPr>
          <w:bCs/>
        </w:rPr>
      </w:pPr>
      <w:r>
        <w:rPr>
          <w:bCs/>
        </w:rPr>
        <w:t>В Управление Федеральной антимонопольной службы по Ханты – Мансийскому автономному округу – Югре поступило обращение ООО «Медпроект», указывающее на признаки сговора участников закупки ООО «ЮНИВОКС», ООО «СТЕРРА», на приобретение и монтаж специализированного оборудования для обеспечения доступности объекта в помещениях Центральной городской библиотеки имени М.К. Анисимковой.</w:t>
      </w:r>
    </w:p>
    <w:p>
      <w:pPr>
        <w:pStyle w:val="Style21"/>
        <w:rPr/>
      </w:pPr>
      <w:r>
        <w:rPr>
          <w:bCs/>
        </w:rPr>
        <w:t>По результатам рассмотрения дела в действиях ООО «Дом-Сервис», ИП Дацюка Евгения Адамовича, ИП Боковели Элеоноры Эдуардовны, установлен факт нарушения пункта 2 части 1 статьи 11 Федерального закона от 26.07.2006 года № 135-ФЗ «О защите конкуренции», выразившегося в заключении устного картельного соглашения, которое привело или могло привести к повышению, снижению или поддержанию цен на торгах.</w:t>
      </w:r>
    </w:p>
    <w:p>
      <w:pPr>
        <w:pStyle w:val="Style21"/>
        <w:rPr>
          <w:bCs/>
        </w:rPr>
      </w:pPr>
      <w:r>
        <w:rPr>
          <w:bCs/>
        </w:rPr>
        <w:t>Использование самостоятельными субъектами гражданского оборота единой инфраструктуры возможно только в случае кооперации и консолидации, при этом такие действия осуществляются для достижения единой для всех цели.</w:t>
      </w:r>
    </w:p>
    <w:p>
      <w:pPr>
        <w:pStyle w:val="Style21"/>
        <w:rPr>
          <w:bCs/>
        </w:rPr>
      </w:pPr>
      <w:r>
        <w:rPr>
          <w:bCs/>
        </w:rPr>
        <w:tab/>
        <w:t>Однако, коммерческие организации в аналогичных ситуациях, конкурируя между собой, не действуют в интересах друг друга.</w:t>
      </w:r>
    </w:p>
    <w:p>
      <w:pPr>
        <w:pStyle w:val="Style21"/>
        <w:rPr>
          <w:bCs/>
        </w:rPr>
      </w:pPr>
      <w:r>
        <w:rPr>
          <w:bCs/>
        </w:rPr>
        <w:tab/>
        <w:t>Следовательно, такие действия ООО «ЮНИВОКС», ООО «СТЕРРА» возможны исключительно в результате достигнутых договоренностей.</w:t>
      </w:r>
    </w:p>
    <w:p>
      <w:pPr>
        <w:pStyle w:val="Style21"/>
        <w:rPr>
          <w:bCs/>
        </w:rPr>
      </w:pPr>
      <w:r>
        <w:rPr>
          <w:bCs/>
        </w:rPr>
        <w:t>Принимая во внимания прямые и косвенные доказательства, комиссия Управления пришла к выводу, что ООО «ЮНИВОКС», ООО «СТЕРРА», нарушены требования пункта 2 части 1 статьи 11 Закона о защите конкуренции, что выразилось в заключение устного картельного соглашения на электронном аукционе.</w:t>
      </w:r>
    </w:p>
    <w:p>
      <w:pPr>
        <w:pStyle w:val="Style21"/>
        <w:widowControl w:val="false"/>
        <w:rPr/>
      </w:pPr>
      <w:r>
        <w:rPr/>
      </w:r>
    </w:p>
    <w:p>
      <w:pPr>
        <w:pStyle w:val="3"/>
        <w:widowControl w:val="false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3"/>
        <w:widowControl w:val="false"/>
        <w:numPr>
          <w:ilvl w:val="0"/>
          <w:numId w:val="0"/>
        </w:numPr>
        <w:ind w:left="1363" w:hanging="0"/>
        <w:jc w:val="center"/>
        <w:rPr/>
      </w:pPr>
      <w:r>
        <w:rPr/>
        <w:t>Пресечение недобросовестной конкуренции</w:t>
      </w:r>
    </w:p>
    <w:p>
      <w:pPr>
        <w:pStyle w:val="Style21"/>
        <w:widowControl w:val="false"/>
        <w:jc w:val="center"/>
        <w:rPr/>
      </w:pPr>
      <w:r>
        <w:rPr/>
      </w:r>
    </w:p>
    <w:p>
      <w:pPr>
        <w:pStyle w:val="Style21"/>
        <w:rPr/>
      </w:pPr>
      <w:r>
        <w:rPr/>
        <w:t>В отчетном периоде Ханты-Мансийским УФАС России рассмотрено 39</w:t>
      </w:r>
      <w:r>
        <w:rPr>
          <w:bCs/>
        </w:rPr>
        <w:t xml:space="preserve"> обращении</w:t>
      </w:r>
      <w:r>
        <w:rPr/>
        <w:t xml:space="preserve"> хозяйствующих субъектов о фактах недобросовестной конкуренции со стороны хозяйствующих субъектов.</w:t>
      </w:r>
    </w:p>
    <w:p>
      <w:pPr>
        <w:pStyle w:val="Style21"/>
        <w:rPr/>
      </w:pPr>
      <w:r>
        <w:rPr/>
        <w:t>По результатам рассмотрения обращений Ханты-Мансийским УФАС России возбуждено и рассмотрено 3</w:t>
      </w:r>
      <w:r>
        <w:rPr>
          <w:bCs/>
        </w:rPr>
        <w:t xml:space="preserve"> дела</w:t>
        <w:tab/>
      </w:r>
      <w:r>
        <w:rPr/>
        <w:t>по нарушению статей 14</w:t>
      </w:r>
      <w:r>
        <w:rPr>
          <w:vertAlign w:val="superscript"/>
        </w:rPr>
        <w:t>1</w:t>
      </w:r>
      <w:r>
        <w:rPr/>
        <w:t>-14</w:t>
      </w:r>
      <w:r>
        <w:rPr>
          <w:vertAlign w:val="superscript"/>
        </w:rPr>
        <w:t xml:space="preserve">8 </w:t>
      </w:r>
      <w:r>
        <w:rPr/>
        <w:t>Закона о защите конкуренции.</w:t>
      </w:r>
    </w:p>
    <w:p>
      <w:pPr>
        <w:pStyle w:val="Style21"/>
        <w:rPr/>
      </w:pPr>
      <w:r>
        <w:rPr/>
        <w:t>По результатам рассмотрения дел было выдано 1 предписание находится в стадии исполнения.</w:t>
      </w:r>
    </w:p>
    <w:p>
      <w:pPr>
        <w:pStyle w:val="Style21"/>
        <w:rPr/>
      </w:pPr>
      <w:r>
        <w:rPr/>
        <w:t>Выявленные в отчетном периоде нарушения в части недобросовестной конкуренции, квалифицированы по статьям 14.6, 14.8 Закона о защите конкуренции.</w:t>
      </w:r>
    </w:p>
    <w:p>
      <w:pPr>
        <w:pStyle w:val="Style21"/>
        <w:rPr/>
      </w:pPr>
      <w:r>
        <w:rPr/>
        <w:t>В отчетном периоде выдано 2 предупреждения о прекращении действий, содержащих признаки нарушения статей 14</w:t>
      </w:r>
      <w:r>
        <w:rPr>
          <w:vertAlign w:val="superscript"/>
        </w:rPr>
        <w:t>6</w:t>
      </w:r>
      <w:r>
        <w:rPr/>
        <w:t>, 14</w:t>
      </w:r>
      <w:r>
        <w:rPr>
          <w:vertAlign w:val="superscript"/>
        </w:rPr>
        <w:t xml:space="preserve">8 </w:t>
      </w:r>
      <w:r>
        <w:rPr/>
        <w:t>(исполнено 1 предупреждение, 1 предупреждение не исполнено, возбуждено дело).</w:t>
      </w:r>
    </w:p>
    <w:p>
      <w:pPr>
        <w:pStyle w:val="Style21"/>
        <w:rPr/>
      </w:pPr>
      <w:r>
        <w:rPr/>
      </w:r>
    </w:p>
    <w:p>
      <w:pPr>
        <w:pStyle w:val="3"/>
        <w:widowControl w:val="false"/>
        <w:numPr>
          <w:ilvl w:val="0"/>
          <w:numId w:val="0"/>
        </w:numPr>
        <w:ind w:left="1363" w:hanging="0"/>
        <w:jc w:val="center"/>
        <w:rPr/>
      </w:pPr>
      <w:r>
        <w:rPr/>
        <w:t>Соблюдение антимонопольных требований к торгам, запросу котировок цен на товары (статья 17 Закона о защите конкуренции)</w:t>
      </w:r>
    </w:p>
    <w:p>
      <w:pPr>
        <w:pStyle w:val="Style21"/>
        <w:widowControl w:val="false"/>
        <w:jc w:val="center"/>
        <w:rPr/>
      </w:pPr>
      <w:r>
        <w:rPr/>
      </w:r>
    </w:p>
    <w:p>
      <w:pPr>
        <w:pStyle w:val="Style21"/>
        <w:rPr/>
      </w:pPr>
      <w:r>
        <w:rPr/>
        <w:t>В 2018 году Управление продолжило осуществлять функции по контролю и надзору за соблюдением антимонопольных требований к торгам.</w:t>
      </w:r>
    </w:p>
    <w:p>
      <w:pPr>
        <w:pStyle w:val="Style21"/>
        <w:rPr/>
      </w:pPr>
      <w:r>
        <w:rPr/>
        <w:t>В отчетном периоде рассмотрено 52 заявления (в 2017 году — 98 заявлений), на действия организаторов торгов и заказчиков, из них:</w:t>
      </w:r>
    </w:p>
    <w:p>
      <w:pPr>
        <w:pStyle w:val="Style21"/>
        <w:rPr/>
      </w:pPr>
      <w:r>
        <w:rPr/>
        <w:t>- по 4 заявления возбуждены дела о нарушении антимонопольного законодательства;</w:t>
      </w:r>
    </w:p>
    <w:p>
      <w:pPr>
        <w:pStyle w:val="Style21"/>
        <w:rPr/>
      </w:pPr>
      <w:r>
        <w:rPr/>
        <w:t>- по 48 заявлениям принято решение об отказе в возбуждении дела о нарушении антимонопольного законодательства, в связи с отсутствием признаков нарушения статьи 17 Закона о защите конкуренции;</w:t>
      </w:r>
    </w:p>
    <w:p>
      <w:pPr>
        <w:pStyle w:val="Style21"/>
        <w:rPr/>
      </w:pPr>
      <w:r>
        <w:rPr/>
        <w:t>Всего в отчетном периоде Ханты-Мансийским УФАС России возбуждено и рассмотрено 8 дел по нарушениям статьи 17 Закона о защите конкуренции, по результатам рассмотрения которых признаны нарушение – 8 дел.</w:t>
      </w:r>
    </w:p>
    <w:p>
      <w:pPr>
        <w:pStyle w:val="Style21"/>
        <w:rPr/>
      </w:pPr>
      <w:r>
        <w:rPr/>
        <w:t>Виды нарушения статьи 17 Закона «О защите конкуренции», отнесенные к «прочим нарушениям»:</w:t>
      </w:r>
    </w:p>
    <w:p>
      <w:pPr>
        <w:pStyle w:val="Style21"/>
        <w:rPr/>
      </w:pPr>
      <w:r>
        <w:rPr/>
        <w:tab/>
        <w:t>- ограничение конкуренции на торгах путем укрупнения лота (2 дела).</w:t>
      </w:r>
    </w:p>
    <w:p>
      <w:pPr>
        <w:pStyle w:val="Style21"/>
        <w:rPr>
          <w:b/>
          <w:b/>
          <w:sz w:val="28"/>
        </w:rPr>
      </w:pPr>
      <w:r>
        <w:rPr>
          <w:b/>
          <w:sz w:val="28"/>
        </w:rPr>
      </w:r>
    </w:p>
    <w:p>
      <w:pPr>
        <w:pStyle w:val="3"/>
        <w:widowControl w:val="false"/>
        <w:numPr>
          <w:ilvl w:val="0"/>
          <w:numId w:val="0"/>
        </w:numPr>
        <w:ind w:left="1363" w:hanging="0"/>
        <w:jc w:val="center"/>
        <w:rPr/>
      </w:pPr>
      <w:r>
        <w:rPr/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18</w:t>
      </w:r>
      <w:r>
        <w:rPr>
          <w:vertAlign w:val="superscript"/>
        </w:rPr>
        <w:t xml:space="preserve">1 </w:t>
      </w:r>
      <w:r>
        <w:rPr/>
        <w:t>Закона о защите конкуренции)</w:t>
      </w:r>
    </w:p>
    <w:p>
      <w:pPr>
        <w:pStyle w:val="Textbody"/>
        <w:spacing w:before="0" w:after="0"/>
        <w:ind w:firstLine="58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Cs w:val="28"/>
        </w:rPr>
      </w:pPr>
      <w:r>
        <w:rPr>
          <w:color w:val="000000"/>
          <w:spacing w:val="-1"/>
          <w:szCs w:val="28"/>
          <w:lang w:eastAsia="zh-CN"/>
        </w:rPr>
        <w:t>В отчетном периоде 2018 года рассмотрено 105 жалоб на действия юридических лиц, организатора торгов, конкурсной и аукционной комиссии, из которых:</w:t>
      </w:r>
    </w:p>
    <w:p>
      <w:pPr>
        <w:pStyle w:val="Normal"/>
        <w:suppressAutoHyphens w:val="true"/>
        <w:ind w:firstLine="709"/>
        <w:jc w:val="both"/>
        <w:rPr>
          <w:szCs w:val="28"/>
        </w:rPr>
      </w:pPr>
      <w:r>
        <w:rPr>
          <w:color w:val="000000"/>
          <w:spacing w:val="-1"/>
          <w:szCs w:val="28"/>
          <w:lang w:eastAsia="zh-CN"/>
        </w:rPr>
        <w:t>- 63 жалобы поступило на закупки, проводимые в соответствии с Федеральным законом от 18.07.2011 №223-ФЗ «О закупках товаров, работ, услуг отдельными видами юридических лиц»;</w:t>
      </w:r>
    </w:p>
    <w:p>
      <w:pPr>
        <w:pStyle w:val="Normal"/>
        <w:suppressAutoHyphens w:val="true"/>
        <w:ind w:firstLine="709"/>
        <w:jc w:val="both"/>
        <w:rPr>
          <w:szCs w:val="28"/>
        </w:rPr>
      </w:pPr>
      <w:r>
        <w:rPr>
          <w:color w:val="000000"/>
          <w:spacing w:val="-1"/>
          <w:szCs w:val="28"/>
          <w:lang w:eastAsia="zh-CN"/>
        </w:rPr>
        <w:t>- 20 жалоб поступило на торги, проводимые в соответствии с 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№75;</w:t>
      </w:r>
    </w:p>
    <w:p>
      <w:pPr>
        <w:pStyle w:val="Normal"/>
        <w:suppressAutoHyphens w:val="true"/>
        <w:ind w:firstLine="709"/>
        <w:jc w:val="both"/>
        <w:rPr>
          <w:szCs w:val="28"/>
        </w:rPr>
      </w:pPr>
      <w:r>
        <w:rPr>
          <w:color w:val="000000"/>
          <w:spacing w:val="-1"/>
          <w:szCs w:val="28"/>
          <w:lang w:eastAsia="zh-CN"/>
        </w:rPr>
        <w:t>- 3 жалобы поступило на торги, проводимые в соответствии с Приказом ФАС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>
      <w:pPr>
        <w:pStyle w:val="Normal"/>
        <w:suppressAutoHyphens w:val="true"/>
        <w:ind w:firstLine="709"/>
        <w:jc w:val="both"/>
        <w:rPr>
          <w:szCs w:val="28"/>
        </w:rPr>
      </w:pPr>
      <w:r>
        <w:rPr>
          <w:color w:val="000000"/>
          <w:spacing w:val="-1"/>
          <w:szCs w:val="28"/>
          <w:lang w:eastAsia="zh-CN"/>
        </w:rPr>
        <w:t>- 8 жалоб поступило на торги, проводимые в соответствии с Земельным кодексом Российской Федерации;</w:t>
      </w:r>
    </w:p>
    <w:p>
      <w:pPr>
        <w:pStyle w:val="Normal"/>
        <w:suppressAutoHyphens w:val="true"/>
        <w:ind w:firstLine="709"/>
        <w:jc w:val="both"/>
        <w:rPr>
          <w:szCs w:val="28"/>
        </w:rPr>
      </w:pPr>
      <w:r>
        <w:rPr>
          <w:color w:val="000000"/>
          <w:spacing w:val="-1"/>
          <w:szCs w:val="28"/>
          <w:lang w:eastAsia="zh-CN"/>
        </w:rPr>
        <w:t>- 3 жалобы поступило на торги, проводимые в соответствии с Федеральным законом от 26.10.2002 №127-ФЗ «О несостоятельности (банкротстве)»;</w:t>
      </w:r>
    </w:p>
    <w:p>
      <w:pPr>
        <w:pStyle w:val="Normal"/>
        <w:tabs>
          <w:tab w:val="left" w:pos="553" w:leader="none"/>
        </w:tabs>
        <w:suppressAutoHyphens w:val="true"/>
        <w:ind w:firstLine="709"/>
        <w:jc w:val="both"/>
        <w:rPr>
          <w:szCs w:val="28"/>
        </w:rPr>
      </w:pPr>
      <w:r>
        <w:rPr>
          <w:color w:val="000000"/>
          <w:spacing w:val="-1"/>
          <w:szCs w:val="28"/>
          <w:lang w:eastAsia="zh-CN"/>
        </w:rPr>
        <w:tab/>
        <w:t>- 2 жалобы рассмотрено по продаже государственного и муниципального имущества</w:t>
      </w:r>
      <w:r>
        <w:rPr>
          <w:bCs/>
          <w:color w:val="000000"/>
          <w:spacing w:val="-1"/>
          <w:szCs w:val="28"/>
          <w:lang w:eastAsia="zh-CN"/>
        </w:rPr>
        <w:t>;</w:t>
      </w:r>
    </w:p>
    <w:p>
      <w:pPr>
        <w:pStyle w:val="Normal"/>
        <w:tabs>
          <w:tab w:val="left" w:pos="553" w:leader="none"/>
        </w:tabs>
        <w:suppressAutoHyphens w:val="true"/>
        <w:ind w:firstLine="709"/>
        <w:jc w:val="both"/>
        <w:rPr>
          <w:szCs w:val="28"/>
        </w:rPr>
      </w:pPr>
      <w:r>
        <w:rPr>
          <w:rFonts w:eastAsia="SimSun" w:cs="Mangal"/>
          <w:szCs w:val="28"/>
          <w:lang w:eastAsia="zh-CN" w:bidi="hi-IN"/>
        </w:rPr>
        <w:t>Основными видами нарушений, допущенных юридическими лицами, организаторами торгов, операторами электронных площадок, конкурсной или аукционной комиссией, выявленными в отчетном периоде, являются:</w:t>
      </w:r>
    </w:p>
    <w:p>
      <w:pPr>
        <w:pStyle w:val="Normal"/>
        <w:widowControl w:val="false"/>
        <w:suppressAutoHyphens w:val="true"/>
        <w:ind w:firstLine="709"/>
        <w:jc w:val="both"/>
        <w:textAlignment w:val="baseline"/>
        <w:rPr>
          <w:rFonts w:eastAsia="SimSun" w:cs="Mangal"/>
          <w:sz w:val="24"/>
          <w:szCs w:val="24"/>
          <w:lang w:eastAsia="zh-CN" w:bidi="hi-IN"/>
        </w:rPr>
      </w:pPr>
      <w:r>
        <w:rPr>
          <w:rFonts w:eastAsia="SimSun" w:cs="Mangal"/>
          <w:szCs w:val="28"/>
          <w:lang w:eastAsia="zh-CN" w:bidi="hi-IN"/>
        </w:rPr>
        <w:t>- нарушение порядка определения победителя;</w:t>
      </w:r>
    </w:p>
    <w:p>
      <w:pPr>
        <w:pStyle w:val="Normal"/>
        <w:widowControl w:val="false"/>
        <w:suppressAutoHyphens w:val="true"/>
        <w:ind w:firstLine="709"/>
        <w:jc w:val="both"/>
        <w:textAlignment w:val="baseline"/>
        <w:rPr>
          <w:rFonts w:eastAsia="SimSun" w:cs="Mangal"/>
          <w:sz w:val="24"/>
          <w:szCs w:val="24"/>
          <w:lang w:eastAsia="zh-CN" w:bidi="hi-IN"/>
        </w:rPr>
      </w:pPr>
      <w:r>
        <w:rPr>
          <w:rFonts w:eastAsia="SimSun" w:cs="Mangal"/>
          <w:szCs w:val="28"/>
          <w:lang w:eastAsia="zh-CN" w:bidi="hi-IN"/>
        </w:rPr>
        <w:t>- установление необоснованных требований к участникам закупки, ограничивающих количество участников закупки;</w:t>
      </w:r>
    </w:p>
    <w:p>
      <w:pPr>
        <w:pStyle w:val="Normal"/>
        <w:widowControl w:val="false"/>
        <w:suppressAutoHyphens w:val="true"/>
        <w:ind w:firstLine="709"/>
        <w:jc w:val="both"/>
        <w:textAlignment w:val="baseline"/>
        <w:rPr>
          <w:rFonts w:eastAsia="SimSun" w:cs="Mangal"/>
          <w:sz w:val="24"/>
          <w:szCs w:val="24"/>
          <w:lang w:eastAsia="zh-CN" w:bidi="hi-IN"/>
        </w:rPr>
      </w:pPr>
      <w:r>
        <w:rPr>
          <w:rFonts w:eastAsia="SimSun" w:cs="Mangal"/>
          <w:szCs w:val="28"/>
          <w:lang w:eastAsia="zh-CN" w:bidi="hi-IN"/>
        </w:rPr>
        <w:t>- нарушение Положения о закупки;</w:t>
      </w:r>
    </w:p>
    <w:p>
      <w:pPr>
        <w:pStyle w:val="Normal"/>
        <w:widowControl w:val="false"/>
        <w:suppressAutoHyphens w:val="true"/>
        <w:ind w:firstLine="709"/>
        <w:jc w:val="both"/>
        <w:textAlignment w:val="baseline"/>
        <w:rPr>
          <w:rFonts w:eastAsia="SimSun" w:cs="Mangal"/>
          <w:sz w:val="24"/>
          <w:szCs w:val="24"/>
          <w:lang w:eastAsia="zh-CN" w:bidi="hi-IN"/>
        </w:rPr>
      </w:pPr>
      <w:r>
        <w:rPr>
          <w:rFonts w:eastAsia="SimSun" w:cs="Mangal"/>
          <w:szCs w:val="28"/>
          <w:lang w:eastAsia="zh-CN" w:bidi="hi-IN"/>
        </w:rPr>
        <w:t>- необоснованная закупка у единственного поставщика;</w:t>
      </w:r>
    </w:p>
    <w:p>
      <w:pPr>
        <w:pStyle w:val="Normal"/>
        <w:widowControl w:val="false"/>
        <w:suppressAutoHyphens w:val="true"/>
        <w:ind w:firstLine="709"/>
        <w:jc w:val="both"/>
        <w:textAlignment w:val="baseline"/>
        <w:rPr>
          <w:rFonts w:eastAsia="SimSun" w:cs="Mangal"/>
          <w:szCs w:val="28"/>
          <w:lang w:eastAsia="zh-CN" w:bidi="hi-IN"/>
        </w:rPr>
      </w:pPr>
      <w:r>
        <w:rPr>
          <w:rFonts w:eastAsia="SimSun" w:cs="Mangal"/>
          <w:szCs w:val="28"/>
          <w:lang w:eastAsia="zh-CN" w:bidi="hi-IN"/>
        </w:rPr>
        <w:t>- отсутствие закупочной документации.</w:t>
      </w:r>
    </w:p>
    <w:p>
      <w:pPr>
        <w:pStyle w:val="Normal"/>
        <w:suppressAutoHyphens w:val="true"/>
        <w:ind w:firstLine="709"/>
        <w:jc w:val="both"/>
        <w:rPr>
          <w:b/>
          <w:b/>
          <w:color w:val="000000"/>
          <w:spacing w:val="-1"/>
          <w:szCs w:val="28"/>
          <w:highlight w:val="yellow"/>
          <w:lang w:eastAsia="zh-CN"/>
        </w:rPr>
      </w:pPr>
      <w:r>
        <w:rPr>
          <w:b/>
          <w:color w:val="000000"/>
          <w:spacing w:val="-1"/>
          <w:szCs w:val="28"/>
          <w:highlight w:val="yellow"/>
          <w:lang w:eastAsia="zh-CN"/>
        </w:rPr>
      </w:r>
    </w:p>
    <w:p>
      <w:pPr>
        <w:pStyle w:val="Normal"/>
        <w:suppressAutoHyphens w:val="true"/>
        <w:ind w:firstLine="709"/>
        <w:jc w:val="center"/>
        <w:rPr/>
      </w:pPr>
      <w:r>
        <w:rPr>
          <w:b/>
          <w:color w:val="000000"/>
          <w:spacing w:val="-1"/>
          <w:szCs w:val="28"/>
          <w:lang w:eastAsia="zh-CN"/>
        </w:rPr>
        <w:t>Пример рассмотрения жалобы.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В Управление Федеральной антимонопольной службы по Ханты-Мансийскому автономному округу — Югре в порядке статьи 18.1 Закона о защите конкуренции, поступила жалоба Заявителя на действия Заказчика, при проведении запроса цен на выполнение подрядных работ по переустройству фасада, извещение № 31806886676.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Заявитель считает, что при проведении закупки Заказчиком нарушены права и законные интересы Заявителя, поскольку заказчиком в Документации не установлен исчерпывающий перечень с указанием названий документов, предоставляемых в качестве подтверждения соответствия участника (пункт 14 Перечня документов, предоставляемых участниками в составе заявки.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Не установление исчерпывающего конкретного перечня с указанием наименований лицензий, допусков, иных разрешений) носит дискриминационный характер, так как содержит широкое толкование понятий и дает возможность принятия решений в зависимости от волеизъявления членов конкурсной комиссии Заказчика, что ограничивает количество участников закупки.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Закупочная деятельность Заказчика регламентируется Положением о порядке проведения закупок товаров, работ, услуг в акционерном обществе «Государственная страховая компания «Югория» утвержденного решением Совета директоров АО «ГСК «Югория» (протокол от 28.07.2017 № 141) (далее-Положение о закупке).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 xml:space="preserve">04.09.2018 г. на официальном сайте www.zakupki.gov.ru Заказчиком опубликовано извещение № </w:t>
      </w:r>
      <w:r>
        <w:rPr>
          <w:color w:val="000000"/>
          <w:spacing w:val="-1"/>
          <w:szCs w:val="28"/>
          <w:u w:val="single"/>
          <w:lang w:eastAsia="zh-CN"/>
        </w:rPr>
        <w:t>31806886676</w:t>
      </w:r>
      <w:r>
        <w:rPr>
          <w:color w:val="000000"/>
          <w:spacing w:val="-1"/>
          <w:szCs w:val="28"/>
          <w:lang w:eastAsia="zh-CN"/>
        </w:rPr>
        <w:t xml:space="preserve"> о о проведении запроса цен на выполнении подрядных работ по переустройству фасада.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Извещением о проведении запроса ценовых котировок установлен перечень документов, представляемых участниками закупки, пунктом 14 данного перечня указано, что участник представляет  в составе заявки копии документов, заверенные подписью и печатью (при наличии печати) участника, подтверждающие  право участника оказать услуги/ выполнить работы (лицензии, допуски, иные разрешения). Окончание срока действия лицензий, допусков, иных разрешений не ранее 01.12.2018. Предоставляется в случае выполнения работ/оказания услуг требования к обязательному лицензированию или сертификации предусмотрены действующим законодательством РФ.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В соответствии с подпунктом 1.12.1.6 пункта 1.12. статьи 1 Положения о закупках Комиссия отклоняет котировочные заявки, как не соответствующие требованиям, установленным в извещении (документации закупки) о проведении запроса ценовых котировок  (в том числе, в случае не предоставления части документов предусмотренных в извещении.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Пунктом 2.4 Технического задания установлены требования к организации: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- наличие свидетельства о допуске к определенному виду или видам работ, которые оказывают влияние на безопасность объектов капитального строительства, п. 14.2 «Устройство вентилируемых фасадов»;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- наличие квалифицированного персонала с удостоверениями;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- наличие МТР (материально-технических ресурсов) для выполнения работ;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- наличие удостоверений у персонала для работы на высоте.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 xml:space="preserve">Протоколом № 462 рассмотрения заявок и подведения итогов запроса ценовых котировок заявка Заявителя признана не соответствующей  в связи с непредставлением  документов по пункту 14 Документации о закупке, а так же в связи с тем, что работы должны выполнятся на высоте более 1, 8 метров, участнкиу необходимо предоставить копии документов, заверенные подписью и печатью (при наличии печати) участника, подтверждающие квалификацию работников участника,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квалификации, в соответствии с Приказом Министерства труда и социальной защите РФ от 28.03.2014 г. № 155н «Об утверждении правил по охране труда при работе на высоте». 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Заявитель во исполнение пункта 14 Документации о закупке Заказчика в составе заявки представил лицензию Министерства Российской Федерации по делам гражданской обороны, чрезвычайным ситуациям и ликвидации последствий стихийных бедствий на осуществление деятельности по монтажу, техническому обслуживанию и ремонту средств обеспечения пожарной безопасности зданий и сооружений, а так же Выписку из реестра членов саморегулируемой организации.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Таким образом, исходя из толкования пункта 14 Документации о закупке Заявитель как участник закупки в составе заявки представил допуск к  работам, а именно: Выписку из реестра членов саморегулируемой организации, которая подтверждает  профессиональную подготовку участника к строительным работам.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В ходе рассмотрения жалобы, Комиссией антимонопольного органа установлено, что в пункте 14 Документации о закупке отсутствует конкретный  перечень документов, подтверждающих  право участника оказать услуги/ выполнить работы по предмету закупки.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В соответствии с пунктом 1 раздела 1 Приказом Министерства труда и социальной защите РФ от 28.03.2014 г. № 155н «Об утверждении правил по охране труда при работе на высоте» (далее - Правила), правила по охране труда при работе на высоте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В соответствии с пунктом 2 раздела 1 Правил, правила распространяются на работников и работодателей - физических или юридических лиц, вступивших в трудовые отношения с работниками.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Так же в составе заявки ООО «Евро-Строй»  представлено письмо от 09.09.2018  о подтверждении наличии соответствующих производственных мощностей, материально — технического обеспечения и кадрового/рабочего персонала с соответствующими разрешениями/допусками/удостоверения для выполнения заявленного объема услуг/работ.</w:t>
      </w:r>
    </w:p>
    <w:p>
      <w:pPr>
        <w:pStyle w:val="Normal"/>
        <w:suppressAutoHyphens w:val="true"/>
        <w:ind w:firstLine="709"/>
        <w:jc w:val="both"/>
        <w:rPr>
          <w:color w:val="000000"/>
          <w:spacing w:val="-1"/>
          <w:szCs w:val="28"/>
          <w:lang w:eastAsia="zh-CN"/>
        </w:rPr>
      </w:pPr>
      <w:r>
        <w:rPr>
          <w:color w:val="000000"/>
          <w:spacing w:val="-1"/>
          <w:szCs w:val="28"/>
          <w:lang w:eastAsia="zh-CN"/>
        </w:rPr>
        <w:t>На основании вышеизложенного, отклонив заявку заявителя по причинам несоответствия требованиям пункта 14 Документации о закупке, а именно: отсутствия подтверждения квалификации сотрудников, заказчик нарушил часть 6 статьи 3 Закона о закупках, так как требования к сотрудникам Документацией не установлены, а установлены только требования к Организации о подтверждении допуска участника к работам согласно предмету закупки, а так же требования к документам, предоставленным участником закупок.</w:t>
      </w:r>
    </w:p>
    <w:p>
      <w:pPr>
        <w:pStyle w:val="Normal"/>
        <w:suppressAutoHyphens w:val="true"/>
        <w:ind w:firstLine="709"/>
        <w:jc w:val="both"/>
        <w:rPr>
          <w:szCs w:val="28"/>
          <w:highlight w:val="yellow"/>
        </w:rPr>
      </w:pPr>
      <w:r>
        <w:rPr>
          <w:szCs w:val="28"/>
          <w:highlight w:val="yellow"/>
        </w:rPr>
      </w:r>
    </w:p>
    <w:p>
      <w:pPr>
        <w:pStyle w:val="1"/>
        <w:widowControl w:val="false"/>
        <w:rPr/>
      </w:pPr>
      <w:r>
        <w:rPr/>
        <w:t xml:space="preserve"> </w:t>
      </w:r>
      <w:r>
        <w:rPr/>
        <w:t>Контроль рекламной деятельности</w:t>
      </w:r>
    </w:p>
    <w:p>
      <w:pPr>
        <w:pStyle w:val="Style21"/>
        <w:widowControl w:val="false"/>
        <w:rPr/>
      </w:pPr>
      <w:r>
        <w:rPr/>
      </w:r>
    </w:p>
    <w:p>
      <w:pPr>
        <w:pStyle w:val="Style21"/>
        <w:widowControl w:val="false"/>
        <w:rPr/>
      </w:pPr>
      <w:r>
        <w:rPr/>
        <w:t>В отчетном периоде  рассмотрено 90</w:t>
      </w:r>
      <w:r>
        <w:rPr>
          <w:b/>
        </w:rPr>
        <w:t xml:space="preserve"> </w:t>
      </w:r>
      <w:r>
        <w:rPr/>
        <w:t>обращений (в 2017 году – 88 обращений).</w:t>
      </w:r>
    </w:p>
    <w:p>
      <w:pPr>
        <w:pStyle w:val="Style21"/>
        <w:widowControl w:val="false"/>
        <w:rPr/>
      </w:pPr>
      <w:r>
        <w:rPr/>
        <w:t>По результатам рассмотрения обращений и собственной инициативе было возбуждено 14 дел по признакам нарушения рекламного законодательства Российской Федерации (в 2017 году – 16 дел).</w:t>
      </w:r>
    </w:p>
    <w:p>
      <w:pPr>
        <w:pStyle w:val="Style21"/>
        <w:widowControl w:val="false"/>
        <w:rPr/>
      </w:pPr>
      <w:r>
        <w:rPr/>
        <w:t>По 83 обращениям – отказано в возбуждении дела.</w:t>
      </w:r>
    </w:p>
    <w:p>
      <w:pPr>
        <w:pStyle w:val="Style21"/>
        <w:widowControl w:val="false"/>
        <w:rPr/>
      </w:pPr>
      <w:r>
        <w:rPr/>
        <w:t>Всего за 2018 год Ханты-Мансийским УФАС России выявлено и пресечено 14 нарушений рекламного законодательства.</w:t>
      </w:r>
    </w:p>
    <w:p>
      <w:pPr>
        <w:pStyle w:val="Style21"/>
        <w:widowControl w:val="false"/>
        <w:rPr/>
      </w:pPr>
      <w:r>
        <w:rPr/>
        <w:t xml:space="preserve">Выдано предписаний – </w:t>
      </w:r>
      <w:r>
        <w:rPr>
          <w:b/>
          <w:bCs/>
        </w:rPr>
        <w:t>8</w:t>
      </w:r>
      <w:r>
        <w:rPr>
          <w:b/>
        </w:rPr>
        <w:t>,</w:t>
      </w:r>
      <w:r>
        <w:rPr/>
        <w:t xml:space="preserve"> исполнено предписаний — </w:t>
      </w:r>
      <w:r>
        <w:rPr>
          <w:b/>
          <w:bCs/>
        </w:rPr>
        <w:t>8</w:t>
      </w:r>
      <w:r>
        <w:rPr/>
        <w:t xml:space="preserve"> (100%);</w:t>
      </w:r>
    </w:p>
    <w:p>
      <w:pPr>
        <w:pStyle w:val="Style21"/>
        <w:widowControl w:val="false"/>
        <w:rPr/>
      </w:pPr>
      <w:r>
        <w:rPr/>
      </w:r>
    </w:p>
    <w:p>
      <w:pPr>
        <w:pStyle w:val="Style21"/>
        <w:widowControl w:val="false"/>
        <w:rPr/>
      </w:pPr>
      <w:r>
        <w:rPr/>
        <w:t xml:space="preserve">По результатам рассмотрения дел об административном правонарушении Управлением по </w:t>
      </w:r>
      <w:r>
        <w:rPr>
          <w:b/>
          <w:bCs/>
        </w:rPr>
        <w:t>12</w:t>
      </w:r>
      <w:r>
        <w:rPr/>
        <w:t xml:space="preserve"> делам вынесены постановления о назначении административного наказания за нарушение рекламного законодательства, из них по </w:t>
      </w:r>
      <w:r>
        <w:rPr>
          <w:b/>
          <w:bCs/>
        </w:rPr>
        <w:t>7</w:t>
      </w:r>
      <w:r>
        <w:rPr/>
        <w:t xml:space="preserve"> делам – административный штраф, по </w:t>
      </w:r>
      <w:r>
        <w:rPr>
          <w:b/>
        </w:rPr>
        <w:t>5</w:t>
      </w:r>
      <w:r>
        <w:rPr/>
        <w:t xml:space="preserve"> делам — предупреждение.</w:t>
      </w:r>
    </w:p>
    <w:p>
      <w:pPr>
        <w:pStyle w:val="Style21"/>
        <w:widowControl w:val="false"/>
        <w:rPr/>
      </w:pPr>
      <w:r>
        <w:rPr/>
        <w:t>Общая сумма наложенных административных штрафов в отчетном периоде составляет 406 000 рублей.</w:t>
      </w:r>
    </w:p>
    <w:p>
      <w:pPr>
        <w:pStyle w:val="Style21"/>
        <w:widowControl w:val="false"/>
        <w:rPr/>
      </w:pPr>
      <w:r>
        <w:rPr/>
      </w:r>
    </w:p>
    <w:p>
      <w:pPr>
        <w:pStyle w:val="Style21"/>
        <w:widowControl w:val="false"/>
        <w:jc w:val="center"/>
        <w:rPr/>
      </w:pPr>
      <w:r>
        <w:rPr>
          <w:b/>
        </w:rPr>
        <w:t xml:space="preserve">Пример административного дела: </w:t>
      </w:r>
    </w:p>
    <w:p>
      <w:pPr>
        <w:pStyle w:val="Style21"/>
        <w:widowControl w:val="false"/>
        <w:rPr/>
      </w:pPr>
      <w:r>
        <w:rPr/>
      </w:r>
    </w:p>
    <w:p>
      <w:pPr>
        <w:pStyle w:val="Style21"/>
        <w:widowControl w:val="false"/>
        <w:rPr/>
      </w:pPr>
      <w:r>
        <w:rPr/>
        <w:t xml:space="preserve">В ходе осуществления мероприятий по контролю за соблюдением требований рекламного законодательства 27.09.2017 установлены признаки нарушения законодательства о рекламе, выразившееся в размещении в г. Ханты-Мансийске на фасаде здания расположенного </w:t>
      </w:r>
      <w:bookmarkStart w:id="0" w:name="__DdeLink__183_186362538611"/>
      <w:r>
        <w:rPr/>
        <w:t>по адресу: ул. Гагарина, д. 88а</w:t>
      </w:r>
      <w:bookmarkEnd w:id="0"/>
      <w:r>
        <w:rPr/>
        <w:t>, размещена рекламная конструкция «Ёжик в тумане» с изображением кальяна, что нарушает требования пункта 8 статьи 7 Федерального закона от 13.03.2006 № 38-ФЗ «О рекламе», согласно которому реклама табака, табачной продукции, табачных изделий и курительных принадлежностей, в том числе трубок, кальянов, сигаретной бумаги, зажигалок - не допускается.</w:t>
      </w:r>
    </w:p>
    <w:p>
      <w:pPr>
        <w:pStyle w:val="Style21"/>
        <w:widowControl w:val="false"/>
        <w:rPr>
          <w:bCs/>
        </w:rPr>
      </w:pPr>
      <w:r>
        <w:rPr>
          <w:bCs/>
        </w:rPr>
        <w:t>Представитель индивидуального предпринимателя пояснил, что данная рекламная конструкция не является рекламной, а является информационной вывеской, в связи с тем, что на ней указаны: фирменное наименование, местонахождение (адрес), режим работы, соответственно на нее не распространяется действие Федерального закона от 13.03.2006 № 38-ФЗ «О рекламе», соответственно данную рекламную вывеску следует рассматривать в рамках Федерального закона от 07.02.1992 №2300-1 «О защите прав потребителей», кроме того, представитель сообщил, что на рекламной конструкции изображен логотип в виде символичного условного изображения ежа с музыкальным инструментом - волынкой.</w:t>
      </w:r>
    </w:p>
    <w:p>
      <w:pPr>
        <w:pStyle w:val="Style21"/>
        <w:widowControl w:val="false"/>
        <w:rPr/>
      </w:pPr>
      <w:r>
        <w:rPr/>
        <w:t xml:space="preserve">По результатам рассмотрения административного дела индивидуальный предприниматель был привлечен к административной ответственности по части 1 статьи 14.3 КоАП РФ в виде штрафа в размере 4 000 руб. </w:t>
      </w:r>
    </w:p>
    <w:p>
      <w:pPr>
        <w:pStyle w:val="Style21"/>
        <w:widowControl w:val="false"/>
        <w:rPr/>
      </w:pPr>
      <w:r>
        <w:rPr/>
      </w:r>
    </w:p>
    <w:p>
      <w:pPr>
        <w:pStyle w:val="1"/>
        <w:rPr/>
      </w:pPr>
      <w:r>
        <w:rPr/>
        <w:t>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</w:t>
        <w:br/>
        <w:t>с исковыми требованиями.</w:t>
      </w:r>
    </w:p>
    <w:p>
      <w:pPr>
        <w:pStyle w:val="Style21"/>
        <w:rPr>
          <w:strike/>
        </w:rPr>
      </w:pPr>
      <w:r>
        <w:rPr>
          <w:strike/>
        </w:rPr>
      </w:r>
    </w:p>
    <w:p>
      <w:pPr>
        <w:pStyle w:val="Style21"/>
        <w:rPr/>
      </w:pPr>
      <w:r>
        <w:rPr/>
        <w:t>В отчетном периоде сложилась положительная практика оспаривания решений и предписаний антимонопольного органа.</w:t>
      </w:r>
    </w:p>
    <w:p>
      <w:pPr>
        <w:pStyle w:val="Style21"/>
        <w:rPr/>
      </w:pPr>
      <w:r>
        <w:rPr/>
        <w:t>В пользу антимонопольного органа приняты решения суда первой и апелляционной инстанции по делам:</w:t>
      </w:r>
      <w:bookmarkStart w:id="1" w:name="_GoBack"/>
      <w:bookmarkEnd w:id="1"/>
    </w:p>
    <w:p>
      <w:pPr>
        <w:pStyle w:val="Style21"/>
        <w:rPr/>
      </w:pPr>
      <w:r>
        <w:rPr/>
        <w:t>- об обжаловании постановления о привлечении к административной ответственности ООО «Инновационные технологии» в виде штрафа в размере 8 708 289 руб. за нарушение требований пункта 1 части 1 статьи 17 Закона о защите конкуренции», выразившиеся в заключении соглашения, которые привели к ограничению, устранению конкуренции.  (</w:t>
      </w:r>
      <w:r>
        <w:rPr>
          <w:b/>
          <w:bCs/>
        </w:rPr>
        <w:t>Дело № А75-4992/2018</w:t>
      </w:r>
      <w:r>
        <w:rPr/>
        <w:t>).</w:t>
      </w:r>
    </w:p>
    <w:p>
      <w:pPr>
        <w:pStyle w:val="Style21"/>
        <w:rPr/>
      </w:pPr>
      <w:r>
        <w:rPr/>
        <w:t>- об обжаловании решения по делу 02-06-005/2017 недействительным в части установления нарушения со стороны общества с ООО «Инновационные Технологии» пункта 1 части 1 статьи 17 Закона о защите конкуренции (</w:t>
      </w:r>
      <w:r>
        <w:rPr>
          <w:b/>
          <w:bCs/>
        </w:rPr>
        <w:t>Дело № А75-2213/2018</w:t>
      </w:r>
      <w:r>
        <w:rPr/>
        <w:t>).</w:t>
      </w:r>
    </w:p>
    <w:p>
      <w:pPr>
        <w:pStyle w:val="Style21"/>
        <w:rPr/>
      </w:pPr>
      <w:r>
        <w:rPr/>
        <w:t xml:space="preserve">Антимонопольным органом в отчетном периоде направлено </w:t>
      </w:r>
      <w:r>
        <w:rPr>
          <w:b/>
          <w:bCs/>
        </w:rPr>
        <w:t>10 исковых заявления</w:t>
      </w:r>
      <w:r>
        <w:rPr/>
        <w:t xml:space="preserve"> в суд о признании закупки и заключенного по ее результатам договора недействительной, по результатам судебных разбирательств 6 исков были удовлетворены в полном объёме, в признании 2 исковых требований было отказано, 2 находятся в стадии рассмотрения. </w:t>
      </w:r>
    </w:p>
    <w:p>
      <w:pPr>
        <w:pStyle w:val="Style21"/>
        <w:rPr/>
      </w:pPr>
      <w:r>
        <w:rPr/>
        <w:t xml:space="preserve">В отчетном периоде обжаловано 1 решение антимонопольного органа 3% от общего числа решений антимонопольного органа, вынесенных по результатам рассмотрения </w:t>
      </w:r>
      <w:r>
        <w:rPr>
          <w:b/>
          <w:bCs/>
        </w:rPr>
        <w:t>дел о нарушении антимонопольного законодательства</w:t>
      </w:r>
      <w:r>
        <w:rPr/>
        <w:t>, находится в стадии обжалования.</w:t>
      </w:r>
    </w:p>
    <w:p>
      <w:pPr>
        <w:pStyle w:val="Style21"/>
        <w:rPr/>
      </w:pPr>
      <w:r>
        <w:rPr/>
      </w:r>
    </w:p>
    <w:p>
      <w:pPr>
        <w:pStyle w:val="Style21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1" w:header="567" w:top="1134" w:footer="567" w:bottom="1418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44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6.1pt;mso-wrap-distance-left:0pt;mso-wrap-distance-right:0pt;mso-wrap-distance-top:0pt;mso-wrap-distance-bottom:0pt;margin-top:0.05pt;mso-position-vertical-relative:text;margin-left:480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0</w:t>
    </w:r>
    <w:r>
      <w:rPr>
        <w:sz w:val="20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Normal"/>
    <w:link w:val="20"/>
    <w:uiPriority w:val="9"/>
    <w:qFormat/>
    <w:rsid w:val="00b05750"/>
    <w:pPr>
      <w:tabs>
        <w:tab w:val="left" w:pos="643" w:leader="none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Normal"/>
    <w:link w:val="30"/>
    <w:uiPriority w:val="9"/>
    <w:qFormat/>
    <w:rsid w:val="00b05750"/>
    <w:pPr>
      <w:numPr>
        <w:ilvl w:val="0"/>
        <w:numId w:val="1"/>
      </w:numPr>
      <w:tabs>
        <w:tab w:val="left" w:pos="643" w:leader="none"/>
      </w:tabs>
      <w:ind w:left="643" w:hanging="0"/>
      <w:jc w:val="both"/>
      <w:outlineLvl w:val="0"/>
    </w:pPr>
    <w:rPr>
      <w:b/>
      <w:szCs w:val="28"/>
    </w:rPr>
  </w:style>
  <w:style w:type="paragraph" w:styleId="4">
    <w:name w:val="Heading 4"/>
    <w:basedOn w:val="Normal"/>
    <w:link w:val="40"/>
    <w:uiPriority w:val="9"/>
    <w:qFormat/>
    <w:pPr>
      <w:keepNext w:val="true"/>
      <w:jc w:val="center"/>
      <w:outlineLvl w:val="3"/>
    </w:pPr>
    <w:rPr>
      <w:b/>
      <w:sz w:val="24"/>
    </w:rPr>
  </w:style>
  <w:style w:type="paragraph" w:styleId="5">
    <w:name w:val="Heading 5"/>
    <w:basedOn w:val="Normal"/>
    <w:link w:val="50"/>
    <w:uiPriority w:val="9"/>
    <w:qFormat/>
    <w:pPr>
      <w:keepNext w:val="true"/>
      <w:ind w:firstLine="720"/>
      <w:jc w:val="both"/>
      <w:outlineLvl w:val="4"/>
    </w:pPr>
    <w:rPr>
      <w:b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locked/>
    <w:rPr>
      <w:rFonts w:cs="Times New Roman"/>
      <w:b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locked/>
    <w:rPr>
      <w:rFonts w:cs="Times New Roman"/>
      <w:b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i/>
      <w:iCs/>
      <w:sz w:val="26"/>
      <w:szCs w:val="26"/>
    </w:rPr>
  </w:style>
  <w:style w:type="character" w:styleId="Style9" w:customStyle="1">
    <w:name w:val="Основной текст с отступом Знак"/>
    <w:basedOn w:val="DefaultParagraphFont"/>
    <w:link w:val="a3"/>
    <w:uiPriority w:val="99"/>
    <w:semiHidden/>
    <w:qFormat/>
    <w:locked/>
    <w:rPr>
      <w:rFonts w:cs="Times New Roman"/>
      <w:sz w:val="28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locked/>
    <w:rPr>
      <w:rFonts w:cs="Times New Roman"/>
      <w:sz w:val="28"/>
    </w:rPr>
  </w:style>
  <w:style w:type="character" w:styleId="Style10" w:customStyle="1">
    <w:name w:val="Верхний колонтитул Знак"/>
    <w:basedOn w:val="DefaultParagraphFont"/>
    <w:link w:val="a5"/>
    <w:uiPriority w:val="99"/>
    <w:qFormat/>
    <w:locked/>
    <w:rsid w:val="00a02ff1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Style11" w:customStyle="1">
    <w:name w:val="Основной текст Знак"/>
    <w:basedOn w:val="DefaultParagraphFont"/>
    <w:link w:val="a9"/>
    <w:uiPriority w:val="99"/>
    <w:qFormat/>
    <w:locked/>
    <w:rsid w:val="00b05750"/>
    <w:rPr>
      <w:rFonts w:cs="Times New Roman"/>
      <w:sz w:val="28"/>
    </w:rPr>
  </w:style>
  <w:style w:type="character" w:styleId="32" w:customStyle="1">
    <w:name w:val="Основной текст с отступом 3 Знак"/>
    <w:basedOn w:val="DefaultParagraphFont"/>
    <w:link w:val="33"/>
    <w:uiPriority w:val="99"/>
    <w:semiHidden/>
    <w:qFormat/>
    <w:locked/>
    <w:rPr>
      <w:rFonts w:cs="Times New Roman"/>
      <w:sz w:val="16"/>
      <w:szCs w:val="16"/>
    </w:rPr>
  </w:style>
  <w:style w:type="character" w:styleId="23" w:customStyle="1">
    <w:name w:val="Основной текст 2 Знак"/>
    <w:basedOn w:val="DefaultParagraphFont"/>
    <w:link w:val="26"/>
    <w:uiPriority w:val="99"/>
    <w:semiHidden/>
    <w:qFormat/>
    <w:locked/>
    <w:rPr>
      <w:rFonts w:cs="Times New Roman"/>
      <w:sz w:val="28"/>
    </w:rPr>
  </w:style>
  <w:style w:type="character" w:styleId="Style12" w:customStyle="1">
    <w:name w:val="Название Знак"/>
    <w:basedOn w:val="DefaultParagraphFont"/>
    <w:link w:val="ab"/>
    <w:uiPriority w:val="10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Текст сноски Знак"/>
    <w:basedOn w:val="DefaultParagraphFont"/>
    <w:link w:val="ad"/>
    <w:uiPriority w:val="99"/>
    <w:semiHidden/>
    <w:qFormat/>
    <w:locked/>
    <w:rPr>
      <w:rFonts w:cs="Times New Roman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Style15" w:customStyle="1">
    <w:name w:val="Нижний колонтитул Знак"/>
    <w:basedOn w:val="DefaultParagraphFont"/>
    <w:link w:val="af1"/>
    <w:uiPriority w:val="99"/>
    <w:qFormat/>
    <w:locked/>
    <w:rPr>
      <w:rFonts w:cs="Times New Roman"/>
      <w:sz w:val="28"/>
    </w:rPr>
  </w:style>
  <w:style w:type="character" w:styleId="33" w:customStyle="1">
    <w:name w:val="Основной текст 3 Знак"/>
    <w:basedOn w:val="DefaultParagraphFont"/>
    <w:link w:val="35"/>
    <w:uiPriority w:val="99"/>
    <w:semiHidden/>
    <w:qFormat/>
    <w:locked/>
    <w:rPr>
      <w:rFonts w:cs="Times New Roman"/>
      <w:sz w:val="16"/>
      <w:szCs w:val="16"/>
    </w:rPr>
  </w:style>
  <w:style w:type="character" w:styleId="Style16" w:customStyle="1">
    <w:name w:val="Дата Знак"/>
    <w:basedOn w:val="DefaultParagraphFont"/>
    <w:link w:val="af4"/>
    <w:uiPriority w:val="99"/>
    <w:semiHidden/>
    <w:qFormat/>
    <w:locked/>
    <w:rPr>
      <w:rFonts w:cs="Times New Roman"/>
      <w:sz w:val="28"/>
    </w:rPr>
  </w:style>
  <w:style w:type="character" w:styleId="Style17" w:customStyle="1">
    <w:name w:val="Подзаголовок Знак"/>
    <w:basedOn w:val="DefaultParagraphFont"/>
    <w:link w:val="af6"/>
    <w:uiPriority w:val="11"/>
    <w:qFormat/>
    <w:locked/>
    <w:rPr>
      <w:rFonts w:ascii="Cambria" w:hAnsi="Cambria" w:eastAsia="" w:cs="Times New Roman" w:asciiTheme="majorHAnsi" w:eastAsiaTheme="majorEastAsia" w:hAnsiTheme="majorHAnsi"/>
      <w:sz w:val="24"/>
      <w:szCs w:val="24"/>
    </w:rPr>
  </w:style>
  <w:style w:type="character" w:styleId="Style18" w:customStyle="1">
    <w:name w:val="Интернет-ссылка"/>
    <w:uiPriority w:val="99"/>
    <w:rsid w:val="002d7c8f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800080"/>
      <w:u w:val="single"/>
    </w:rPr>
  </w:style>
  <w:style w:type="character" w:styleId="Style19" w:customStyle="1">
    <w:name w:val="Текст выноски Знак"/>
    <w:basedOn w:val="DefaultParagraphFont"/>
    <w:link w:val="afb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00000A"/>
      <w:u w:val="none"/>
    </w:rPr>
  </w:style>
  <w:style w:type="character" w:styleId="ListLabel11">
    <w:name w:val="ListLabel 11"/>
    <w:qFormat/>
    <w:rPr>
      <w:iCs/>
      <w:color w:val="00000A"/>
      <w:u w:val="non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a"/>
    <w:uiPriority w:val="99"/>
    <w:rsid w:val="00b05750"/>
    <w:pPr>
      <w:ind w:firstLine="709"/>
      <w:jc w:val="both"/>
    </w:pPr>
    <w:rPr>
      <w:szCs w:val="28"/>
    </w:rPr>
  </w:style>
  <w:style w:type="paragraph" w:styleId="Style22">
    <w:name w:val="List"/>
    <w:basedOn w:val="Normal"/>
    <w:uiPriority w:val="99"/>
    <w:pPr>
      <w:ind w:left="283" w:hanging="283"/>
    </w:pPr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Body Text Indent"/>
    <w:basedOn w:val="Normal"/>
    <w:link w:val="a4"/>
    <w:uiPriority w:val="99"/>
    <w:pPr>
      <w:ind w:left="3912" w:hanging="0"/>
    </w:pPr>
    <w:rPr/>
  </w:style>
  <w:style w:type="paragraph" w:styleId="BodyTextIndent2">
    <w:name w:val="Body Text Indent 2"/>
    <w:basedOn w:val="Normal"/>
    <w:link w:val="22"/>
    <w:uiPriority w:val="99"/>
    <w:qFormat/>
    <w:pPr>
      <w:ind w:firstLine="720"/>
      <w:jc w:val="both"/>
    </w:pPr>
    <w:rPr/>
  </w:style>
  <w:style w:type="paragraph" w:styleId="Style26">
    <w:name w:val="Header"/>
    <w:basedOn w:val="Normal"/>
    <w:link w:val="a6"/>
    <w:uiPriority w:val="99"/>
    <w:pPr>
      <w:tabs>
        <w:tab w:val="center" w:pos="4153" w:leader="none"/>
        <w:tab w:val="right" w:pos="8306" w:leader="none"/>
      </w:tabs>
    </w:pPr>
    <w:rPr/>
  </w:style>
  <w:style w:type="paragraph" w:styleId="24">
    <w:name w:val="List Bullet 3"/>
    <w:basedOn w:val="Normal"/>
    <w:uiPriority w:val="99"/>
    <w:pPr>
      <w:ind w:left="566" w:hanging="283"/>
    </w:pPr>
    <w:rPr/>
  </w:style>
  <w:style w:type="paragraph" w:styleId="ListBullet">
    <w:name w:val="List Bullet"/>
    <w:basedOn w:val="Normal"/>
    <w:autoRedefine/>
    <w:uiPriority w:val="99"/>
    <w:qFormat/>
    <w:pPr>
      <w:keepNext w:val="true"/>
      <w:jc w:val="both"/>
    </w:pPr>
    <w:rPr>
      <w:b/>
    </w:rPr>
  </w:style>
  <w:style w:type="paragraph" w:styleId="ListBullet2">
    <w:name w:val="List Bullet 2"/>
    <w:basedOn w:val="Normal"/>
    <w:autoRedefine/>
    <w:uiPriority w:val="99"/>
    <w:qFormat/>
    <w:pPr>
      <w:jc w:val="both"/>
    </w:pPr>
    <w:rPr/>
  </w:style>
  <w:style w:type="paragraph" w:styleId="ListBullet3">
    <w:name w:val="List Bullet 3"/>
    <w:basedOn w:val="Normal"/>
    <w:autoRedefine/>
    <w:uiPriority w:val="99"/>
    <w:qFormat/>
    <w:pPr>
      <w:ind w:firstLine="720"/>
      <w:jc w:val="both"/>
    </w:pPr>
    <w:rPr/>
  </w:style>
  <w:style w:type="paragraph" w:styleId="ListContinue2">
    <w:name w:val="List Continue 2"/>
    <w:basedOn w:val="Normal"/>
    <w:uiPriority w:val="99"/>
    <w:qFormat/>
    <w:pPr>
      <w:spacing w:before="0" w:after="120"/>
      <w:ind w:left="566" w:hanging="0"/>
    </w:pPr>
    <w:rPr/>
  </w:style>
  <w:style w:type="paragraph" w:styleId="ListContinue3">
    <w:name w:val="List Continue 3"/>
    <w:basedOn w:val="Normal"/>
    <w:uiPriority w:val="99"/>
    <w:qFormat/>
    <w:pPr>
      <w:spacing w:before="0" w:after="120"/>
      <w:ind w:left="849" w:hanging="0"/>
    </w:pPr>
    <w:rPr/>
  </w:style>
  <w:style w:type="paragraph" w:styleId="BodyTextIndent3">
    <w:name w:val="Body Text Indent 3"/>
    <w:basedOn w:val="Normal"/>
    <w:link w:val="34"/>
    <w:uiPriority w:val="99"/>
    <w:qFormat/>
    <w:pPr>
      <w:ind w:firstLine="720"/>
    </w:pPr>
    <w:rPr/>
  </w:style>
  <w:style w:type="paragraph" w:styleId="BodyText2">
    <w:name w:val="Body Text 2"/>
    <w:basedOn w:val="Normal"/>
    <w:link w:val="27"/>
    <w:uiPriority w:val="99"/>
    <w:qFormat/>
    <w:pPr>
      <w:jc w:val="center"/>
    </w:pPr>
    <w:rPr/>
  </w:style>
  <w:style w:type="paragraph" w:styleId="Style27">
    <w:name w:val="Title"/>
    <w:basedOn w:val="Normal"/>
    <w:link w:val="ac"/>
    <w:uiPriority w:val="10"/>
    <w:qFormat/>
    <w:pPr>
      <w:jc w:val="center"/>
    </w:pPr>
    <w:rPr>
      <w:lang w:val="en-US"/>
    </w:rPr>
  </w:style>
  <w:style w:type="paragraph" w:styleId="Style28">
    <w:name w:val="Footnote Text"/>
    <w:basedOn w:val="Normal"/>
    <w:link w:val="ae"/>
    <w:uiPriority w:val="99"/>
    <w:semiHidden/>
    <w:pPr/>
    <w:rPr>
      <w:sz w:val="20"/>
    </w:rPr>
  </w:style>
  <w:style w:type="paragraph" w:styleId="BlockText">
    <w:name w:val="Block Text"/>
    <w:basedOn w:val="Normal"/>
    <w:uiPriority w:val="99"/>
    <w:qFormat/>
    <w:pPr>
      <w:ind w:left="-45" w:right="-124" w:hanging="0"/>
      <w:jc w:val="center"/>
    </w:pPr>
    <w:rPr>
      <w:lang w:val="en-US"/>
    </w:rPr>
  </w:style>
  <w:style w:type="paragraph" w:styleId="Style29">
    <w:name w:val="Footer"/>
    <w:basedOn w:val="Normal"/>
    <w:link w:val="af2"/>
    <w:uiPriority w:val="99"/>
    <w:pPr>
      <w:tabs>
        <w:tab w:val="center" w:pos="4153" w:leader="none"/>
        <w:tab w:val="right" w:pos="8306" w:leader="none"/>
      </w:tabs>
    </w:pPr>
    <w:rPr/>
  </w:style>
  <w:style w:type="paragraph" w:styleId="BodyText3">
    <w:name w:val="Body Text 3"/>
    <w:basedOn w:val="Normal"/>
    <w:link w:val="36"/>
    <w:uiPriority w:val="99"/>
    <w:qFormat/>
    <w:pPr>
      <w:jc w:val="center"/>
    </w:pPr>
    <w:rPr>
      <w:b/>
    </w:rPr>
  </w:style>
  <w:style w:type="paragraph" w:styleId="34">
    <w:name w:val="List Bullet 4"/>
    <w:basedOn w:val="Normal"/>
    <w:uiPriority w:val="99"/>
    <w:pPr>
      <w:ind w:left="849" w:hanging="283"/>
    </w:pPr>
    <w:rPr/>
  </w:style>
  <w:style w:type="paragraph" w:styleId="42">
    <w:name w:val="List Bullet 5"/>
    <w:basedOn w:val="Normal"/>
    <w:uiPriority w:val="99"/>
    <w:pPr>
      <w:ind w:left="1132" w:hanging="283"/>
    </w:pPr>
    <w:rPr/>
  </w:style>
  <w:style w:type="paragraph" w:styleId="Date">
    <w:name w:val="Date"/>
    <w:basedOn w:val="Normal"/>
    <w:link w:val="af5"/>
    <w:uiPriority w:val="99"/>
    <w:qFormat/>
    <w:pPr/>
    <w:rPr/>
  </w:style>
  <w:style w:type="paragraph" w:styleId="Style30">
    <w:name w:val="Subtitle"/>
    <w:basedOn w:val="Normal"/>
    <w:link w:val="af7"/>
    <w:uiPriority w:val="11"/>
    <w:qFormat/>
    <w:pPr>
      <w:spacing w:before="0" w:after="60"/>
      <w:jc w:val="center"/>
      <w:outlineLvl w:val="1"/>
    </w:pPr>
    <w:rPr>
      <w:rFonts w:ascii="Arial" w:hAnsi="Arial"/>
      <w:sz w:val="24"/>
    </w:rPr>
  </w:style>
  <w:style w:type="paragraph" w:styleId="BalloonText">
    <w:name w:val="Balloon Text"/>
    <w:basedOn w:val="Normal"/>
    <w:link w:val="afc"/>
    <w:uiPriority w:val="99"/>
    <w:semiHidden/>
    <w:qFormat/>
    <w:rsid w:val="00565f4d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31"/>
    <w:basedOn w:val="Normal"/>
    <w:qFormat/>
    <w:rsid w:val="00d24eb4"/>
    <w:pPr>
      <w:suppressAutoHyphens w:val="true"/>
    </w:pPr>
    <w:rPr>
      <w:b/>
      <w:bCs/>
      <w:sz w:val="22"/>
      <w:szCs w:val="22"/>
      <w:lang w:eastAsia="ar-SA"/>
    </w:rPr>
  </w:style>
  <w:style w:type="paragraph" w:styleId="Textbody" w:customStyle="1">
    <w:name w:val="Text body"/>
    <w:basedOn w:val="Normal"/>
    <w:qFormat/>
    <w:rsid w:val="009a2412"/>
    <w:pPr>
      <w:widowControl w:val="false"/>
      <w:suppressAutoHyphens w:val="true"/>
      <w:spacing w:before="0" w:after="12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Style31" w:customStyle="1">
    <w:name w:val="Текст в заданном формате"/>
    <w:basedOn w:val="Normal"/>
    <w:qFormat/>
    <w:rsid w:val="00f445ca"/>
    <w:pPr>
      <w:spacing w:lineRule="auto" w:line="276"/>
    </w:pPr>
    <w:rPr>
      <w:rFonts w:ascii="Liberation Mono" w:hAnsi="Liberation Mono" w:eastAsia="NSimSun" w:cs="Liberation Mono"/>
      <w:color w:val="00000A"/>
      <w:sz w:val="20"/>
      <w:lang w:eastAsia="en-US"/>
    </w:rPr>
  </w:style>
  <w:style w:type="paragraph" w:styleId="Style32" w:customStyle="1">
    <w:name w:val="Style3"/>
    <w:basedOn w:val="Normal"/>
    <w:uiPriority w:val="99"/>
    <w:qFormat/>
    <w:rsid w:val="001b4bac"/>
    <w:pPr>
      <w:widowControl w:val="false"/>
      <w:spacing w:lineRule="exact" w:line="290"/>
      <w:ind w:firstLine="662"/>
      <w:jc w:val="both"/>
    </w:pPr>
    <w:rPr>
      <w:color w:val="00000A"/>
      <w:sz w:val="24"/>
      <w:szCs w:val="24"/>
    </w:rPr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72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E692-2EFB-4415-ADB6-0811BE68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LibreOffice/6.0.3.2$Windows_x86 LibreOffice_project/8f48d515416608e3a835360314dac7e47fd0b821</Application>
  <Pages>9</Pages>
  <Words>2583</Words>
  <Characters>18154</Characters>
  <CharactersWithSpaces>20682</CharactersWithSpaces>
  <Paragraphs>99</Paragraphs>
  <Company>GAK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2017-12-05T06:59:00Z</dcterms:created>
  <dc:creator>GAK_10</dc:creator>
  <dc:description/>
  <dc:language>ru-RU</dc:language>
  <cp:lastModifiedBy/>
  <cp:lastPrinted>2019-02-04T04:48:00Z</cp:lastPrinted>
  <dcterms:modified xsi:type="dcterms:W3CDTF">2019-03-05T10:52:16Z</dcterms:modified>
  <cp:revision>25</cp:revision>
  <dc:subject/>
  <dc:title>Костюк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GAK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